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D34" w:rsidRPr="000E3594" w:rsidRDefault="008A712E" w:rsidP="008A712E">
      <w:pPr>
        <w:jc w:val="both"/>
        <w:rPr>
          <w:rFonts w:ascii="Arial" w:hAnsi="Arial" w:cs="Arial"/>
          <w:sz w:val="22"/>
          <w:szCs w:val="22"/>
        </w:rPr>
      </w:pPr>
      <w:r w:rsidRPr="000E3594">
        <w:rPr>
          <w:rFonts w:ascii="Arial" w:hAnsi="Arial" w:cs="Arial"/>
          <w:sz w:val="22"/>
          <w:szCs w:val="22"/>
        </w:rPr>
        <w:t xml:space="preserve">Ricardo Espinoza Lolas (Playa Ancha, Valparaíso, 15 de Octubre de 1967) es un académico, escritor, teórico crítico y filósofo chileno. Su obra articula el pensamiento de G.W.F. Hegel con la Teoría Crítica actual imbricada con la fenomenología de X. Zubiri y el pensamiento estético creativo de F. Nietzsche. Y con esta matriz su pensamiento pretende dar respuestas a la cultura de estos tiempos y, a la vez, busca mostrar nuevas lógicas creativas que permitan abrir una alternativa al capitalismo imperante global.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Doctor en Filosofía por la Universidad Autónoma de Madrid y Catedrático de Historia de la Filosofía Contemporánea de la Pontificia Universidad Católica de Valparaíso. Es miembro, entre otras instituciones, del Center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for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Philosophy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and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Critical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Thought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de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Goldsmiths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University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of London.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CC4D34" w:rsidRPr="000E3594" w:rsidRDefault="000E3594" w:rsidP="008A712E">
      <w:pPr>
        <w:jc w:val="both"/>
        <w:rPr>
          <w:rFonts w:ascii="Arial" w:eastAsia="Times New Roman" w:hAnsi="Arial" w:cs="Arial"/>
          <w:b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b/>
          <w:sz w:val="22"/>
          <w:szCs w:val="22"/>
          <w:lang w:eastAsia="es-ES_tradnl"/>
        </w:rPr>
        <w:t>L</w:t>
      </w:r>
      <w:r w:rsidR="008A712E" w:rsidRPr="000E3594">
        <w:rPr>
          <w:rFonts w:ascii="Arial" w:eastAsia="Times New Roman" w:hAnsi="Arial" w:cs="Arial"/>
          <w:b/>
          <w:sz w:val="22"/>
          <w:szCs w:val="22"/>
          <w:lang w:eastAsia="es-ES_tradnl"/>
        </w:rPr>
        <w:t xml:space="preserve">ibros que ha escrito o coeditado: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Realidad y tiempo en Zubiri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 (2006), 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Zubiri ante Heidegger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 (2008), 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Hegel. La transformación de los espacios sociales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 (2012), 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Flashback, miradas y gestos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 (2012), 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Realidad y ser en Zubiri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 (2013),  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El cuerpo y sus expresiones 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(2014)</w:t>
      </w:r>
      <w:r w:rsidR="00CC4D34" w:rsidRPr="000E3594">
        <w:rPr>
          <w:rFonts w:ascii="Arial" w:eastAsia="Times New Roman" w:hAnsi="Arial" w:cs="Arial"/>
          <w:sz w:val="22"/>
          <w:szCs w:val="22"/>
          <w:lang w:eastAsia="es-ES_tradnl"/>
        </w:rPr>
        <w:t>,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Hegel y las nuevas lógicas del Estado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, con Prólogo de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Slavoj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Zizek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y Epílogo de Alberto Toscano (2016;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Seg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. Ed. 2017),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sz w:val="22"/>
          <w:szCs w:val="22"/>
          <w:lang w:eastAsia="es-ES_tradnl"/>
        </w:rPr>
        <w:t>Capitalismo y empresa. Hacia una Revolución del NosOtros,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con Prólogo de Antonio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Negri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y Epílogo de Eugenio García (2018), 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proofErr w:type="spellStart"/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Zizek</w:t>
      </w:r>
      <w:proofErr w:type="spellEnd"/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proofErr w:type="spellStart"/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reloaded</w:t>
      </w:r>
      <w:proofErr w:type="spellEnd"/>
      <w:r w:rsidRPr="000E3594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. Políticas de lo radical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 (2018;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Seg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. Ed. 2019),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sz w:val="22"/>
          <w:szCs w:val="22"/>
          <w:lang w:eastAsia="es-ES_tradnl"/>
        </w:rPr>
        <w:t xml:space="preserve">Aporías de la Democracia 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(2019),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sz w:val="22"/>
          <w:szCs w:val="22"/>
          <w:lang w:eastAsia="es-ES_tradnl"/>
        </w:rPr>
        <w:t>NosOtros. Manual para disolver el Capitalismo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, con Prólogo de José Luis </w:t>
      </w:r>
      <w:proofErr w:type="spellStart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>Villacañas</w:t>
      </w:r>
      <w:proofErr w:type="spellEnd"/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(2019)</w:t>
      </w:r>
      <w:r w:rsidR="00CC4D34"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,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i/>
          <w:sz w:val="22"/>
          <w:szCs w:val="22"/>
          <w:lang w:eastAsia="es-ES_tradnl"/>
        </w:rPr>
      </w:pPr>
    </w:p>
    <w:p w:rsidR="00CC4D34" w:rsidRPr="000E3594" w:rsidRDefault="008A712E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E3594">
        <w:rPr>
          <w:rFonts w:ascii="Arial" w:eastAsia="Times New Roman" w:hAnsi="Arial" w:cs="Arial"/>
          <w:i/>
          <w:sz w:val="22"/>
          <w:szCs w:val="22"/>
          <w:lang w:eastAsia="es-ES_tradnl"/>
        </w:rPr>
        <w:t>El espacio público de la migración</w:t>
      </w:r>
      <w:r w:rsidRPr="000E3594">
        <w:rPr>
          <w:rFonts w:ascii="Arial" w:eastAsia="Times New Roman" w:hAnsi="Arial" w:cs="Arial"/>
          <w:sz w:val="22"/>
          <w:szCs w:val="22"/>
          <w:lang w:eastAsia="es-ES_tradnl"/>
        </w:rPr>
        <w:t xml:space="preserve"> (2019). </w:t>
      </w:r>
    </w:p>
    <w:p w:rsidR="00CC4D34" w:rsidRPr="000E3594" w:rsidRDefault="00CC4D34" w:rsidP="008A712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62218F" w:rsidRPr="000E3594" w:rsidRDefault="000E3594">
      <w:pPr>
        <w:rPr>
          <w:rFonts w:ascii="Arial" w:hAnsi="Arial" w:cs="Arial"/>
          <w:sz w:val="22"/>
          <w:szCs w:val="22"/>
        </w:rPr>
      </w:pPr>
    </w:p>
    <w:p w:rsidR="00795A84" w:rsidRPr="000E3594" w:rsidRDefault="00795A84" w:rsidP="00795A84">
      <w:pPr>
        <w:spacing w:line="383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val="es-CL" w:eastAsia="es-ES_tradnl"/>
        </w:rPr>
        <w:t>Formación Académica                                                                                               </w:t>
      </w:r>
    </w:p>
    <w:p w:rsidR="00795A84" w:rsidRPr="000E3594" w:rsidRDefault="00795A84" w:rsidP="00795A84">
      <w:pPr>
        <w:spacing w:after="225" w:line="383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Doctor en Filosofía, Universidad Autónoma de Madrid, España.</w:t>
      </w:r>
    </w:p>
    <w:p w:rsidR="00795A84" w:rsidRPr="000E3594" w:rsidRDefault="000E3594" w:rsidP="00795A84">
      <w:pPr>
        <w:spacing w:after="225" w:line="383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Postdoc</w:t>
      </w:r>
      <w:r w:rsidR="00795A84"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, Goldsmiths. University of London, UK</w:t>
      </w:r>
    </w:p>
    <w:p w:rsidR="00795A84" w:rsidRDefault="00795A84" w:rsidP="00795A84">
      <w:pPr>
        <w:spacing w:after="225" w:line="383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</w:p>
    <w:p w:rsidR="000E3594" w:rsidRPr="000E3594" w:rsidRDefault="000E3594" w:rsidP="00795A84">
      <w:pPr>
        <w:spacing w:after="225" w:line="383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bookmarkStart w:id="0" w:name="_GoBack"/>
      <w:bookmarkEnd w:id="0"/>
    </w:p>
    <w:p w:rsidR="00795A84" w:rsidRPr="000E3594" w:rsidRDefault="00795A84" w:rsidP="00795A84">
      <w:pPr>
        <w:spacing w:line="383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val="es-CL" w:eastAsia="es-ES_tradnl"/>
        </w:rPr>
        <w:lastRenderedPageBreak/>
        <w:t>Áreas de Investigación</w:t>
      </w:r>
    </w:p>
    <w:p w:rsidR="00795A84" w:rsidRPr="000E3594" w:rsidRDefault="00795A84" w:rsidP="00795A84">
      <w:pPr>
        <w:numPr>
          <w:ilvl w:val="0"/>
          <w:numId w:val="1"/>
        </w:numPr>
        <w:spacing w:after="225" w:line="383" w:lineRule="atLeast"/>
        <w:ind w:left="750" w:right="75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Xavier Zubiri: fenomenología, teoría de la inteligencia, teoría de la complejidad</w:t>
      </w:r>
    </w:p>
    <w:p w:rsidR="00795A84" w:rsidRPr="000E3594" w:rsidRDefault="00795A84" w:rsidP="00795A84">
      <w:pPr>
        <w:numPr>
          <w:ilvl w:val="0"/>
          <w:numId w:val="1"/>
        </w:numPr>
        <w:spacing w:after="225" w:line="383" w:lineRule="atLeast"/>
        <w:ind w:left="750" w:right="75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G. W. F. Hegel: idealismo alemán, teoría crítica, lógicas del Estado</w:t>
      </w:r>
    </w:p>
    <w:p w:rsidR="00795A84" w:rsidRPr="000E3594" w:rsidRDefault="00795A84" w:rsidP="00795A84">
      <w:pPr>
        <w:numPr>
          <w:ilvl w:val="0"/>
          <w:numId w:val="1"/>
        </w:numPr>
        <w:spacing w:after="225" w:line="383" w:lineRule="atLeast"/>
        <w:ind w:left="750" w:right="75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F. W. Nietzsche - G. Deleuze: estética, lógica de la sensación, postestructuralismo </w:t>
      </w:r>
    </w:p>
    <w:p w:rsidR="00795A84" w:rsidRPr="000E3594" w:rsidRDefault="00795A84" w:rsidP="00795A84">
      <w:pPr>
        <w:rPr>
          <w:rFonts w:ascii="Arial" w:eastAsia="Times New Roman" w:hAnsi="Arial" w:cs="Arial"/>
          <w:sz w:val="22"/>
          <w:szCs w:val="22"/>
          <w:lang w:val="es-CL" w:eastAsia="es-ES_tradnl"/>
        </w:rPr>
      </w:pPr>
    </w:p>
    <w:p w:rsidR="00583903" w:rsidRPr="000E3594" w:rsidRDefault="00583903" w:rsidP="00583903">
      <w:pPr>
        <w:spacing w:line="383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val="es-CL" w:eastAsia="es-ES_tradnl"/>
        </w:rPr>
        <w:t>Cursos</w:t>
      </w:r>
    </w:p>
    <w:p w:rsidR="00583903" w:rsidRPr="000E3594" w:rsidRDefault="00583903" w:rsidP="00B83CA4">
      <w:pPr>
        <w:spacing w:line="383" w:lineRule="atLeast"/>
        <w:ind w:left="750" w:right="75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</w:p>
    <w:p w:rsidR="00583903" w:rsidRPr="000E3594" w:rsidRDefault="00583903" w:rsidP="00583903">
      <w:pPr>
        <w:numPr>
          <w:ilvl w:val="1"/>
          <w:numId w:val="2"/>
        </w:numPr>
        <w:spacing w:after="225" w:line="383" w:lineRule="atLeast"/>
        <w:ind w:left="1500" w:right="150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Historia de la Filosofía Contemporánea</w:t>
      </w:r>
    </w:p>
    <w:p w:rsidR="00583903" w:rsidRPr="000E3594" w:rsidRDefault="00583903" w:rsidP="00B83CA4">
      <w:pPr>
        <w:numPr>
          <w:ilvl w:val="1"/>
          <w:numId w:val="2"/>
        </w:numPr>
        <w:spacing w:after="225" w:line="383" w:lineRule="atLeast"/>
        <w:ind w:left="1500" w:right="150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Seminario: Xavier Zubiri</w:t>
      </w:r>
    </w:p>
    <w:p w:rsidR="00583903" w:rsidRPr="000E3594" w:rsidRDefault="00B83CA4" w:rsidP="00583903">
      <w:pPr>
        <w:numPr>
          <w:ilvl w:val="1"/>
          <w:numId w:val="2"/>
        </w:numPr>
        <w:spacing w:after="225" w:line="383" w:lineRule="atLeast"/>
        <w:ind w:left="1500" w:right="150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 xml:space="preserve">Seminario: G. W. F. </w:t>
      </w:r>
      <w:r w:rsidR="00583903"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 xml:space="preserve">Hegel </w:t>
      </w:r>
    </w:p>
    <w:p w:rsidR="00B83CA4" w:rsidRPr="000E3594" w:rsidRDefault="00B83CA4" w:rsidP="00583903">
      <w:pPr>
        <w:numPr>
          <w:ilvl w:val="1"/>
          <w:numId w:val="2"/>
        </w:numPr>
        <w:spacing w:after="225" w:line="383" w:lineRule="atLeast"/>
        <w:ind w:left="1500" w:right="150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Seminario: Friedrich Nietzsche</w:t>
      </w:r>
    </w:p>
    <w:p w:rsidR="00B83CA4" w:rsidRPr="000E3594" w:rsidRDefault="00B83CA4" w:rsidP="00583903">
      <w:pPr>
        <w:numPr>
          <w:ilvl w:val="1"/>
          <w:numId w:val="2"/>
        </w:numPr>
        <w:spacing w:after="225" w:line="383" w:lineRule="atLeast"/>
        <w:ind w:left="1500" w:right="150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color w:val="000000"/>
          <w:sz w:val="22"/>
          <w:szCs w:val="22"/>
          <w:lang w:val="es-CL" w:eastAsia="es-ES_tradnl"/>
        </w:rPr>
        <w:t>Seminario: Gilles Deleuze</w:t>
      </w:r>
    </w:p>
    <w:p w:rsidR="00583903" w:rsidRPr="000E3594" w:rsidRDefault="00583903" w:rsidP="00583903">
      <w:pPr>
        <w:rPr>
          <w:rFonts w:ascii="Arial" w:eastAsia="Times New Roman" w:hAnsi="Arial" w:cs="Arial"/>
          <w:sz w:val="22"/>
          <w:szCs w:val="22"/>
          <w:lang w:val="es-CL" w:eastAsia="es-ES_tradnl"/>
        </w:rPr>
      </w:pPr>
    </w:p>
    <w:p w:rsidR="00593D0D" w:rsidRPr="000E3594" w:rsidRDefault="000E3594" w:rsidP="00593D0D">
      <w:pPr>
        <w:rPr>
          <w:rFonts w:ascii="Arial" w:eastAsia="Times New Roman" w:hAnsi="Arial" w:cs="Arial"/>
          <w:sz w:val="22"/>
          <w:szCs w:val="22"/>
          <w:lang w:val="es-CL" w:eastAsia="es-ES_tradnl"/>
        </w:rPr>
      </w:pPr>
      <w:r w:rsidRPr="000E359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val="es-CL" w:eastAsia="es-ES_tradnl"/>
        </w:rPr>
        <w:t>Artículos</w:t>
      </w:r>
      <w:r w:rsidR="00593D0D" w:rsidRPr="000E359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val="es-CL" w:eastAsia="es-ES_tradnl"/>
        </w:rPr>
        <w:t xml:space="preserve"> Recientes</w:t>
      </w:r>
    </w:p>
    <w:p w:rsidR="00795A84" w:rsidRPr="000E3594" w:rsidRDefault="00795A84">
      <w:pPr>
        <w:rPr>
          <w:rFonts w:ascii="Arial" w:hAnsi="Arial" w:cs="Arial"/>
          <w:sz w:val="22"/>
          <w:szCs w:val="22"/>
          <w:lang w:val="es-CL"/>
        </w:rPr>
      </w:pPr>
    </w:p>
    <w:p w:rsidR="00B9685F" w:rsidRPr="000E3594" w:rsidRDefault="00B9685F" w:rsidP="00B9685F">
      <w:pPr>
        <w:jc w:val="both"/>
        <w:rPr>
          <w:rFonts w:ascii="Arial" w:eastAsia="Times New Roman" w:hAnsi="Arial" w:cs="Arial"/>
          <w:iCs/>
          <w:sz w:val="22"/>
          <w:szCs w:val="22"/>
          <w:lang w:eastAsia="es-ES"/>
        </w:rPr>
      </w:pPr>
      <w:r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 xml:space="preserve">1. </w:t>
      </w:r>
      <w:r w:rsidRPr="000E3594">
        <w:rPr>
          <w:rFonts w:ascii="Arial" w:eastAsia="Times New Roman" w:hAnsi="Arial" w:cs="Arial"/>
          <w:b/>
          <w:iCs/>
          <w:sz w:val="22"/>
          <w:szCs w:val="22"/>
          <w:lang w:eastAsia="es-ES"/>
        </w:rPr>
        <w:t xml:space="preserve">ISI </w:t>
      </w:r>
      <w:r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>“Sensación y política en Gilles Deleuze”, en AURORA, v. 29, n. 46, 2017, pp. 35-50.</w:t>
      </w:r>
    </w:p>
    <w:p w:rsidR="00B9685F" w:rsidRPr="000E3594" w:rsidRDefault="00B9685F" w:rsidP="00B9685F">
      <w:pPr>
        <w:jc w:val="both"/>
        <w:rPr>
          <w:rFonts w:ascii="Arial" w:eastAsia="Times New Roman" w:hAnsi="Arial" w:cs="Arial"/>
          <w:iCs/>
          <w:sz w:val="22"/>
          <w:szCs w:val="22"/>
          <w:lang w:eastAsia="es-ES"/>
        </w:rPr>
      </w:pPr>
    </w:p>
    <w:p w:rsidR="00B9685F" w:rsidRPr="000E3594" w:rsidRDefault="00B9685F" w:rsidP="00B9685F">
      <w:pPr>
        <w:pStyle w:val="Default"/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0E3594">
        <w:rPr>
          <w:rFonts w:ascii="Arial" w:hAnsi="Arial" w:cs="Arial"/>
          <w:iCs/>
          <w:sz w:val="22"/>
          <w:szCs w:val="22"/>
          <w:lang w:val="es-ES_tradnl"/>
        </w:rPr>
        <w:t xml:space="preserve">2. </w:t>
      </w:r>
      <w:r w:rsidRPr="000E3594">
        <w:rPr>
          <w:rFonts w:ascii="Arial" w:hAnsi="Arial" w:cs="Arial"/>
          <w:b/>
          <w:iCs/>
          <w:sz w:val="22"/>
          <w:szCs w:val="22"/>
          <w:lang w:val="es-ES_tradnl"/>
        </w:rPr>
        <w:t>ISI</w:t>
      </w:r>
      <w:r w:rsidRPr="000E3594">
        <w:rPr>
          <w:rFonts w:ascii="Arial" w:hAnsi="Arial" w:cs="Arial"/>
          <w:iCs/>
          <w:sz w:val="22"/>
          <w:szCs w:val="22"/>
          <w:lang w:val="es-ES_tradnl"/>
        </w:rPr>
        <w:t xml:space="preserve"> “</w:t>
      </w:r>
      <w:r w:rsidRPr="000E3594">
        <w:rPr>
          <w:rFonts w:ascii="Arial" w:hAnsi="Arial" w:cs="Arial"/>
          <w:bCs/>
          <w:iCs/>
          <w:sz w:val="22"/>
          <w:szCs w:val="22"/>
          <w:lang w:val="es-ES_tradnl"/>
        </w:rPr>
        <w:t xml:space="preserve">El sonido musical de Victoria </w:t>
      </w:r>
      <w:proofErr w:type="spellStart"/>
      <w:r w:rsidRPr="000E3594">
        <w:rPr>
          <w:rFonts w:ascii="Arial" w:hAnsi="Arial" w:cs="Arial"/>
          <w:bCs/>
          <w:iCs/>
          <w:sz w:val="22"/>
          <w:szCs w:val="22"/>
          <w:lang w:val="es-ES_tradnl"/>
        </w:rPr>
        <w:t>Poleva</w:t>
      </w:r>
      <w:proofErr w:type="spellEnd"/>
      <w:r w:rsidRPr="000E3594">
        <w:rPr>
          <w:rFonts w:ascii="Arial" w:hAnsi="Arial" w:cs="Arial"/>
          <w:bCs/>
          <w:iCs/>
          <w:sz w:val="22"/>
          <w:szCs w:val="22"/>
          <w:lang w:val="es-ES_tradnl"/>
        </w:rPr>
        <w:t xml:space="preserve"> en articulación con la imagen fílmica de </w:t>
      </w:r>
      <w:proofErr w:type="spellStart"/>
      <w:r w:rsidRPr="000E3594">
        <w:rPr>
          <w:rFonts w:ascii="Arial" w:hAnsi="Arial" w:cs="Arial"/>
          <w:bCs/>
          <w:iCs/>
          <w:sz w:val="22"/>
          <w:szCs w:val="22"/>
          <w:lang w:val="es-ES_tradnl"/>
        </w:rPr>
        <w:t>Andrei</w:t>
      </w:r>
      <w:proofErr w:type="spellEnd"/>
      <w:r w:rsidRPr="000E3594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proofErr w:type="spellStart"/>
      <w:r w:rsidRPr="000E3594">
        <w:rPr>
          <w:rFonts w:ascii="Arial" w:hAnsi="Arial" w:cs="Arial"/>
          <w:bCs/>
          <w:iCs/>
          <w:sz w:val="22"/>
          <w:szCs w:val="22"/>
          <w:lang w:val="es-ES_tradnl"/>
        </w:rPr>
        <w:t>Tarkovsky</w:t>
      </w:r>
      <w:proofErr w:type="spellEnd"/>
      <w:r w:rsidRPr="000E3594">
        <w:rPr>
          <w:rFonts w:ascii="Arial" w:hAnsi="Arial" w:cs="Arial"/>
          <w:iCs/>
          <w:sz w:val="22"/>
          <w:szCs w:val="22"/>
          <w:lang w:val="es-ES_tradnl"/>
        </w:rPr>
        <w:t xml:space="preserve">”, en MUSICA HODIE, </w:t>
      </w:r>
      <w:r w:rsidRPr="000E3594">
        <w:rPr>
          <w:rFonts w:ascii="Arial" w:hAnsi="Arial" w:cs="Arial"/>
          <w:sz w:val="22"/>
          <w:szCs w:val="22"/>
          <w:lang w:val="es-ES_tradnl" w:eastAsia="es-CL"/>
        </w:rPr>
        <w:t xml:space="preserve"> V.17, 108p., n.1, 2017, pp. 42-56.</w:t>
      </w:r>
    </w:p>
    <w:p w:rsidR="00D549BD" w:rsidRPr="000E3594" w:rsidRDefault="00D549BD">
      <w:pPr>
        <w:rPr>
          <w:rFonts w:ascii="Arial" w:hAnsi="Arial" w:cs="Arial"/>
          <w:sz w:val="22"/>
          <w:szCs w:val="22"/>
          <w:lang w:val="es-CL"/>
        </w:rPr>
      </w:pPr>
    </w:p>
    <w:p w:rsidR="00D549BD" w:rsidRPr="000E3594" w:rsidRDefault="00B9685F" w:rsidP="00D549BD">
      <w:pPr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0E3594">
        <w:rPr>
          <w:rFonts w:ascii="Arial" w:eastAsia="Times New Roman" w:hAnsi="Arial" w:cs="Arial"/>
          <w:sz w:val="22"/>
          <w:szCs w:val="22"/>
          <w:lang w:eastAsia="es-ES"/>
        </w:rPr>
        <w:t>3</w:t>
      </w:r>
      <w:r w:rsidR="00D549BD" w:rsidRPr="000E3594">
        <w:rPr>
          <w:rFonts w:ascii="Arial" w:eastAsia="Times New Roman" w:hAnsi="Arial" w:cs="Arial"/>
          <w:sz w:val="22"/>
          <w:szCs w:val="22"/>
          <w:lang w:eastAsia="es-ES"/>
        </w:rPr>
        <w:t xml:space="preserve">. </w:t>
      </w:r>
      <w:r w:rsidR="00D549BD" w:rsidRPr="000E3594">
        <w:rPr>
          <w:rFonts w:ascii="Arial" w:eastAsia="Times New Roman" w:hAnsi="Arial" w:cs="Arial"/>
          <w:b/>
          <w:sz w:val="22"/>
          <w:szCs w:val="22"/>
          <w:lang w:val="es-ES" w:eastAsia="es-ES"/>
        </w:rPr>
        <w:t xml:space="preserve">ISI </w:t>
      </w:r>
      <w:r w:rsidR="00D549BD" w:rsidRPr="000E3594">
        <w:rPr>
          <w:rFonts w:ascii="Arial" w:eastAsia="Times New Roman" w:hAnsi="Arial" w:cs="Arial"/>
          <w:sz w:val="22"/>
          <w:szCs w:val="22"/>
          <w:lang w:val="es-ES" w:eastAsia="es-ES"/>
        </w:rPr>
        <w:t>“</w:t>
      </w:r>
      <w:r w:rsidR="00D549BD" w:rsidRPr="000E3594">
        <w:rPr>
          <w:rFonts w:ascii="Arial" w:eastAsia="Times New Roman" w:hAnsi="Arial" w:cs="Arial"/>
          <w:sz w:val="22"/>
          <w:szCs w:val="22"/>
          <w:lang w:eastAsia="es-ES"/>
        </w:rPr>
        <w:t>En torno a la técnica y la vida: conceptos fundamentales de los pensamientos de Canguilhem y Zubiri”, en IDEAS Y VALORES, Vol. 66,  Nº 167, 2018, pp. 127-147.</w:t>
      </w:r>
    </w:p>
    <w:p w:rsidR="00D549BD" w:rsidRPr="000E3594" w:rsidRDefault="00D549BD" w:rsidP="00D549BD">
      <w:pPr>
        <w:jc w:val="both"/>
        <w:rPr>
          <w:rFonts w:ascii="Arial" w:eastAsia="Times New Roman" w:hAnsi="Arial" w:cs="Arial"/>
          <w:iCs/>
          <w:sz w:val="22"/>
          <w:szCs w:val="22"/>
          <w:lang w:eastAsia="es-ES"/>
        </w:rPr>
      </w:pPr>
    </w:p>
    <w:p w:rsidR="00D549BD" w:rsidRPr="000E3594" w:rsidRDefault="00B9685F" w:rsidP="00D549BD">
      <w:pPr>
        <w:jc w:val="both"/>
        <w:rPr>
          <w:rFonts w:ascii="Arial" w:eastAsia="Times New Roman" w:hAnsi="Arial" w:cs="Arial"/>
          <w:iCs/>
          <w:sz w:val="22"/>
          <w:szCs w:val="22"/>
          <w:lang w:eastAsia="es-ES"/>
        </w:rPr>
      </w:pPr>
      <w:r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>4</w:t>
      </w:r>
      <w:r w:rsidR="00D549BD"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 xml:space="preserve">. </w:t>
      </w:r>
      <w:r w:rsidR="00D549BD" w:rsidRPr="000E3594">
        <w:rPr>
          <w:rFonts w:ascii="Arial" w:eastAsia="Times New Roman" w:hAnsi="Arial" w:cs="Arial"/>
          <w:b/>
          <w:iCs/>
          <w:sz w:val="22"/>
          <w:szCs w:val="22"/>
          <w:lang w:eastAsia="es-ES"/>
        </w:rPr>
        <w:t>ISI</w:t>
      </w:r>
      <w:r w:rsidR="00D549BD"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 xml:space="preserve"> “</w:t>
      </w:r>
      <w:proofErr w:type="spellStart"/>
      <w:r w:rsidR="00D549BD"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>Zizek</w:t>
      </w:r>
      <w:proofErr w:type="spellEnd"/>
      <w:r w:rsidR="00D549BD"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 xml:space="preserve"> lector de Hegel… y el Show de la Ideología”, en RES PUBLICA, Vol. 21, Nº 1, 2018, pp. 137-150.</w:t>
      </w:r>
    </w:p>
    <w:p w:rsidR="00D549BD" w:rsidRPr="000E3594" w:rsidRDefault="00D549BD" w:rsidP="00D549BD">
      <w:pPr>
        <w:jc w:val="both"/>
        <w:rPr>
          <w:rFonts w:ascii="Arial" w:eastAsia="Times New Roman" w:hAnsi="Arial" w:cs="Arial"/>
          <w:iCs/>
          <w:sz w:val="22"/>
          <w:szCs w:val="22"/>
          <w:lang w:eastAsia="es-ES"/>
        </w:rPr>
      </w:pPr>
    </w:p>
    <w:p w:rsidR="00D549BD" w:rsidRPr="000E3594" w:rsidRDefault="00B9685F" w:rsidP="00D549BD">
      <w:pPr>
        <w:jc w:val="both"/>
        <w:rPr>
          <w:rFonts w:ascii="Arial" w:eastAsia="Times New Roman" w:hAnsi="Arial" w:cs="Arial"/>
          <w:iCs/>
          <w:sz w:val="22"/>
          <w:szCs w:val="22"/>
          <w:lang w:eastAsia="es-ES"/>
        </w:rPr>
      </w:pPr>
      <w:r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>5</w:t>
      </w:r>
      <w:r w:rsidR="00D549BD"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 xml:space="preserve">. </w:t>
      </w:r>
      <w:r w:rsidR="00D549BD" w:rsidRPr="000E3594">
        <w:rPr>
          <w:rFonts w:ascii="Arial" w:eastAsia="Times New Roman" w:hAnsi="Arial" w:cs="Arial"/>
          <w:b/>
          <w:iCs/>
          <w:sz w:val="22"/>
          <w:szCs w:val="22"/>
          <w:lang w:eastAsia="es-ES"/>
        </w:rPr>
        <w:t xml:space="preserve">ISI </w:t>
      </w:r>
      <w:r w:rsidR="00D549BD"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 xml:space="preserve">“Realidad y arte en Zubiri”, en Revista </w:t>
      </w:r>
      <w:r w:rsidR="00D549BD" w:rsidRPr="000E3594">
        <w:rPr>
          <w:rFonts w:ascii="Arial" w:eastAsia="Times New Roman" w:hAnsi="Arial" w:cs="Arial"/>
          <w:bCs/>
          <w:iCs/>
          <w:sz w:val="22"/>
          <w:szCs w:val="22"/>
          <w:lang w:eastAsia="es-ES"/>
        </w:rPr>
        <w:t>CO-HERENCIA,</w:t>
      </w:r>
      <w:r w:rsidR="00D549BD" w:rsidRPr="000E3594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"/>
        </w:rPr>
        <w:t xml:space="preserve"> </w:t>
      </w:r>
      <w:r w:rsidR="00D549BD" w:rsidRPr="000E3594">
        <w:rPr>
          <w:rFonts w:ascii="Arial" w:eastAsia="Times New Roman" w:hAnsi="Arial" w:cs="Arial"/>
          <w:iCs/>
          <w:sz w:val="22"/>
          <w:szCs w:val="22"/>
          <w:lang w:eastAsia="es-ES"/>
        </w:rPr>
        <w:t>Vol. 15, No. 29 julio - diciembre de 2018, pp. 179-196.</w:t>
      </w:r>
    </w:p>
    <w:p w:rsidR="00D549BD" w:rsidRPr="000E3594" w:rsidRDefault="00D549BD" w:rsidP="00D549BD">
      <w:pPr>
        <w:jc w:val="both"/>
        <w:rPr>
          <w:rFonts w:ascii="Arial" w:eastAsia="Times New Roman" w:hAnsi="Arial" w:cs="Arial"/>
          <w:iCs/>
          <w:sz w:val="22"/>
          <w:szCs w:val="22"/>
          <w:lang w:eastAsia="es-ES"/>
        </w:rPr>
      </w:pPr>
    </w:p>
    <w:p w:rsidR="00D549BD" w:rsidRPr="00D549BD" w:rsidRDefault="00D549BD"/>
    <w:sectPr w:rsidR="00D549BD" w:rsidRPr="00D549BD" w:rsidSect="004D6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021F"/>
    <w:multiLevelType w:val="multilevel"/>
    <w:tmpl w:val="09682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F1B39"/>
    <w:multiLevelType w:val="multilevel"/>
    <w:tmpl w:val="32C07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2E"/>
    <w:rsid w:val="000E3594"/>
    <w:rsid w:val="004D6F84"/>
    <w:rsid w:val="00583903"/>
    <w:rsid w:val="00593D0D"/>
    <w:rsid w:val="00795A84"/>
    <w:rsid w:val="00820B87"/>
    <w:rsid w:val="008A712E"/>
    <w:rsid w:val="00B83CA4"/>
    <w:rsid w:val="00B9685F"/>
    <w:rsid w:val="00CC4D34"/>
    <w:rsid w:val="00D5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95BF2"/>
  <w15:chartTrackingRefBased/>
  <w15:docId w15:val="{7B84F7E0-CAD8-404F-AA20-F8BC91E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12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9">
    <w:name w:val="font_9"/>
    <w:basedOn w:val="Normal"/>
    <w:rsid w:val="00795A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ES_tradnl"/>
    </w:rPr>
  </w:style>
  <w:style w:type="character" w:styleId="Textoennegrita">
    <w:name w:val="Strong"/>
    <w:basedOn w:val="Fuentedeprrafopredeter"/>
    <w:uiPriority w:val="22"/>
    <w:qFormat/>
    <w:rsid w:val="00795A84"/>
    <w:rPr>
      <w:b/>
      <w:bCs/>
    </w:rPr>
  </w:style>
  <w:style w:type="character" w:customStyle="1" w:styleId="apple-converted-space">
    <w:name w:val="apple-converted-space"/>
    <w:basedOn w:val="Fuentedeprrafopredeter"/>
    <w:rsid w:val="00795A84"/>
  </w:style>
  <w:style w:type="paragraph" w:customStyle="1" w:styleId="font8">
    <w:name w:val="font_8"/>
    <w:basedOn w:val="Normal"/>
    <w:rsid w:val="00795A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ES_tradnl"/>
    </w:rPr>
  </w:style>
  <w:style w:type="paragraph" w:customStyle="1" w:styleId="Default">
    <w:name w:val="Default"/>
    <w:rsid w:val="00D549B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espinoza lolas</dc:creator>
  <cp:keywords/>
  <dc:description/>
  <cp:lastModifiedBy>ricardo espinoza lolas</cp:lastModifiedBy>
  <cp:revision>8</cp:revision>
  <dcterms:created xsi:type="dcterms:W3CDTF">2019-10-16T21:30:00Z</dcterms:created>
  <dcterms:modified xsi:type="dcterms:W3CDTF">2019-10-17T01:38:00Z</dcterms:modified>
</cp:coreProperties>
</file>